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D2A" w:rsidRPr="0097202E" w:rsidRDefault="00993F6F" w:rsidP="00636331">
      <w:pPr>
        <w:spacing w:line="276" w:lineRule="auto"/>
        <w:ind w:firstLine="709"/>
        <w:jc w:val="center"/>
        <w:rPr>
          <w:b/>
          <w:szCs w:val="28"/>
        </w:rPr>
      </w:pPr>
      <w:r w:rsidRPr="0097202E">
        <w:rPr>
          <w:b/>
          <w:szCs w:val="28"/>
        </w:rPr>
        <w:t>ИНФОРМАЦИЯ</w:t>
      </w:r>
    </w:p>
    <w:p w:rsidR="00636331" w:rsidRDefault="00636331" w:rsidP="00636331">
      <w:pPr>
        <w:spacing w:line="276" w:lineRule="auto"/>
        <w:ind w:firstLine="709"/>
        <w:jc w:val="center"/>
        <w:rPr>
          <w:szCs w:val="28"/>
        </w:rPr>
      </w:pPr>
      <w:r>
        <w:rPr>
          <w:szCs w:val="28"/>
        </w:rPr>
        <w:t xml:space="preserve">О </w:t>
      </w:r>
      <w:r w:rsidR="00993F6F" w:rsidRPr="00636331">
        <w:rPr>
          <w:szCs w:val="28"/>
        </w:rPr>
        <w:t>субси</w:t>
      </w:r>
      <w:r w:rsidR="003C66BB" w:rsidRPr="00636331">
        <w:rPr>
          <w:szCs w:val="28"/>
        </w:rPr>
        <w:t>дировании инвестиционных кредитов заключенных на реализацию инвестиционных проектов, отобранных до 31.12.2016</w:t>
      </w:r>
    </w:p>
    <w:p w:rsidR="0097202E" w:rsidRPr="00636331" w:rsidRDefault="00387BA5" w:rsidP="00636331">
      <w:pPr>
        <w:spacing w:line="276" w:lineRule="auto"/>
        <w:ind w:firstLine="709"/>
        <w:jc w:val="center"/>
        <w:rPr>
          <w:szCs w:val="28"/>
        </w:rPr>
      </w:pPr>
      <w:r w:rsidRPr="00636331">
        <w:rPr>
          <w:szCs w:val="28"/>
        </w:rPr>
        <w:t xml:space="preserve"> </w:t>
      </w:r>
      <w:r w:rsidR="00636331">
        <w:rPr>
          <w:szCs w:val="28"/>
        </w:rPr>
        <w:t xml:space="preserve">и </w:t>
      </w:r>
      <w:r w:rsidRPr="00636331">
        <w:rPr>
          <w:szCs w:val="28"/>
        </w:rPr>
        <w:t>в части реализации механизма льготного инвестиционного кредитования сельскохозяйственных товаропроизводителей</w:t>
      </w:r>
    </w:p>
    <w:p w:rsidR="0039624A" w:rsidRDefault="0039624A" w:rsidP="00C02D2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2D2A" w:rsidRDefault="00993F6F" w:rsidP="00C02D2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3F6F">
        <w:rPr>
          <w:rFonts w:ascii="Times New Roman" w:hAnsi="Times New Roman" w:cs="Times New Roman"/>
          <w:b/>
          <w:sz w:val="28"/>
          <w:szCs w:val="28"/>
          <w:u w:val="single"/>
        </w:rPr>
        <w:t>Вопрос</w:t>
      </w:r>
      <w:r w:rsidR="0039624A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="00C02D2A" w:rsidRPr="00993F6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993F6F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Возможность рефинансирования инвестиционных кредитов</w:t>
      </w:r>
      <w:r w:rsidR="00636331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2020 году</w:t>
      </w:r>
      <w:r w:rsidRPr="00993F6F">
        <w:rPr>
          <w:rFonts w:ascii="Times New Roman" w:hAnsi="Times New Roman" w:cs="Times New Roman"/>
          <w:b/>
          <w:sz w:val="28"/>
          <w:szCs w:val="28"/>
          <w:u w:val="single"/>
        </w:rPr>
        <w:t>?</w:t>
      </w:r>
    </w:p>
    <w:p w:rsidR="0039624A" w:rsidRDefault="0039624A" w:rsidP="003962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0403">
        <w:rPr>
          <w:rFonts w:ascii="Times New Roman" w:hAnsi="Times New Roman" w:cs="Times New Roman"/>
          <w:sz w:val="28"/>
          <w:szCs w:val="28"/>
        </w:rPr>
        <w:t xml:space="preserve">Предоставление субсидий на возмещение части затрат на уплату процентов по инвестиционным кредитам (займам), </w:t>
      </w:r>
      <w:proofErr w:type="spellStart"/>
      <w:r w:rsidRPr="00340403">
        <w:rPr>
          <w:rFonts w:ascii="Times New Roman" w:hAnsi="Times New Roman" w:cs="Times New Roman"/>
          <w:sz w:val="28"/>
          <w:szCs w:val="28"/>
        </w:rPr>
        <w:t>сельхозтоваропроизводителям</w:t>
      </w:r>
      <w:proofErr w:type="spellEnd"/>
      <w:r w:rsidRPr="00340403">
        <w:rPr>
          <w:rFonts w:ascii="Times New Roman" w:hAnsi="Times New Roman" w:cs="Times New Roman"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sz w:val="28"/>
          <w:szCs w:val="28"/>
        </w:rPr>
        <w:t>осуществляется в соответствии с  П</w:t>
      </w:r>
      <w:r w:rsidRPr="00340403">
        <w:rPr>
          <w:rFonts w:ascii="Times New Roman" w:hAnsi="Times New Roman" w:cs="Times New Roman"/>
          <w:sz w:val="28"/>
          <w:szCs w:val="28"/>
        </w:rPr>
        <w:t>равилами предоставления и распределения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комплексе, утвержденными Постановлением Правительства Российской Федерации от 06.09.2018 № 1063 «О предоставлении и распределении иных</w:t>
      </w:r>
      <w:proofErr w:type="gramEnd"/>
      <w:r w:rsidRPr="00340403">
        <w:rPr>
          <w:rFonts w:ascii="Times New Roman" w:hAnsi="Times New Roman" w:cs="Times New Roman"/>
          <w:sz w:val="28"/>
          <w:szCs w:val="28"/>
        </w:rPr>
        <w:t xml:space="preserve">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Pr="00340403">
        <w:rPr>
          <w:rFonts w:ascii="Times New Roman" w:hAnsi="Times New Roman" w:cs="Times New Roman"/>
          <w:sz w:val="28"/>
          <w:szCs w:val="28"/>
        </w:rPr>
        <w:t>.</w:t>
      </w:r>
    </w:p>
    <w:p w:rsidR="0039624A" w:rsidRPr="003C66BB" w:rsidRDefault="0039624A" w:rsidP="003C66B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057FD9">
        <w:rPr>
          <w:rFonts w:ascii="Times New Roman" w:hAnsi="Times New Roman" w:cs="Times New Roman"/>
          <w:sz w:val="28"/>
          <w:szCs w:val="28"/>
        </w:rPr>
        <w:t>предоставля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57FD9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сельхозтоваропроизводителям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на возмещение</w:t>
      </w:r>
      <w:r w:rsidRPr="00057FD9">
        <w:rPr>
          <w:rFonts w:ascii="Times New Roman" w:hAnsi="Times New Roman" w:cs="Times New Roman"/>
          <w:sz w:val="28"/>
          <w:szCs w:val="28"/>
        </w:rPr>
        <w:t xml:space="preserve"> части затрат </w:t>
      </w:r>
      <w:r w:rsidRPr="00340403">
        <w:rPr>
          <w:rFonts w:ascii="Times New Roman" w:hAnsi="Times New Roman" w:cs="Times New Roman"/>
          <w:sz w:val="28"/>
          <w:szCs w:val="28"/>
        </w:rPr>
        <w:t>на уплату процентов</w:t>
      </w:r>
      <w:r w:rsidRPr="00057FD9">
        <w:rPr>
          <w:rFonts w:ascii="Times New Roman" w:hAnsi="Times New Roman" w:cs="Times New Roman"/>
          <w:sz w:val="28"/>
          <w:szCs w:val="28"/>
        </w:rPr>
        <w:t xml:space="preserve"> по кредитным договорам (договорам займа), заключенным на реализацию инвестиционных проектов, ото</w:t>
      </w:r>
      <w:r>
        <w:rPr>
          <w:rFonts w:ascii="Times New Roman" w:hAnsi="Times New Roman" w:cs="Times New Roman"/>
          <w:sz w:val="28"/>
          <w:szCs w:val="28"/>
        </w:rPr>
        <w:t>бранных до 31.12.2016</w:t>
      </w:r>
      <w:r w:rsidRPr="00057FD9">
        <w:rPr>
          <w:rFonts w:ascii="Times New Roman" w:hAnsi="Times New Roman" w:cs="Times New Roman"/>
          <w:sz w:val="28"/>
          <w:szCs w:val="28"/>
        </w:rPr>
        <w:t xml:space="preserve"> включительно,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57FD9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цели, указанные в пункте 2 Правил. </w:t>
      </w:r>
    </w:p>
    <w:p w:rsidR="00C02D2A" w:rsidRDefault="00C02D2A" w:rsidP="00C02D2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Подпунктом «ж» пункта 2 Правил </w:t>
      </w:r>
      <w:r w:rsidRPr="00636331">
        <w:rPr>
          <w:rFonts w:ascii="Times New Roman" w:hAnsi="Times New Roman" w:cs="Times New Roman"/>
          <w:sz w:val="28"/>
          <w:szCs w:val="28"/>
          <w:u w:val="single"/>
        </w:rPr>
        <w:t>предусмотрена возможность рефинансирования инвестиционных кредитов (займов), полученных на реализацию инвестиционных проектов, отобранных до 31 декабря 2016 г. по</w:t>
      </w:r>
      <w:r w:rsidRPr="00057FD9">
        <w:rPr>
          <w:rFonts w:ascii="Times New Roman" w:hAnsi="Times New Roman" w:cs="Times New Roman"/>
          <w:sz w:val="28"/>
          <w:szCs w:val="28"/>
        </w:rPr>
        <w:t xml:space="preserve"> направлениям, предусмотренным </w:t>
      </w:r>
      <w:hyperlink w:anchor="P50" w:history="1">
        <w:r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hyperlink w:anchor="P86" w:history="1">
          <w:r>
            <w:rPr>
              <w:rFonts w:ascii="Times New Roman" w:hAnsi="Times New Roman" w:cs="Times New Roman"/>
              <w:sz w:val="28"/>
              <w:szCs w:val="28"/>
            </w:rPr>
            <w:t>«а»</w:t>
          </w:r>
        </w:hyperlink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7B360A">
        <w:rPr>
          <w:rFonts w:ascii="Times New Roman" w:hAnsi="Times New Roman" w:cs="Times New Roman"/>
          <w:sz w:val="28"/>
          <w:szCs w:val="28"/>
        </w:rPr>
        <w:t xml:space="preserve">- </w:t>
      </w:r>
      <w:hyperlink w:anchor="P86" w:history="1"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7B360A">
          <w:rPr>
            <w:rFonts w:ascii="Times New Roman" w:hAnsi="Times New Roman" w:cs="Times New Roman"/>
            <w:sz w:val="28"/>
            <w:szCs w:val="28"/>
          </w:rPr>
          <w:t>е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FD9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2 Правил</w:t>
      </w:r>
      <w:r w:rsidRPr="00057FD9">
        <w:rPr>
          <w:rFonts w:ascii="Times New Roman" w:hAnsi="Times New Roman" w:cs="Times New Roman"/>
          <w:sz w:val="28"/>
          <w:szCs w:val="28"/>
        </w:rPr>
        <w:t xml:space="preserve">, </w:t>
      </w:r>
      <w:r w:rsidRPr="00FE7C4F">
        <w:rPr>
          <w:rFonts w:ascii="Times New Roman" w:hAnsi="Times New Roman" w:cs="Times New Roman"/>
          <w:sz w:val="28"/>
          <w:szCs w:val="28"/>
          <w:u w:val="single"/>
        </w:rPr>
        <w:t>при условии</w:t>
      </w:r>
      <w:r w:rsidRPr="00057FD9">
        <w:rPr>
          <w:rFonts w:ascii="Times New Roman" w:hAnsi="Times New Roman" w:cs="Times New Roman"/>
          <w:sz w:val="28"/>
          <w:szCs w:val="28"/>
        </w:rPr>
        <w:t xml:space="preserve">, что суммарный срок пользования кредитами (займами) не превышает суммарных сроков, указанных в этих подпунктах, с учетом продления в соответствии </w:t>
      </w:r>
      <w:r w:rsidRPr="007B360A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91" w:history="1">
        <w:r w:rsidRPr="007B360A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057FD9">
        <w:rPr>
          <w:rFonts w:ascii="Times New Roman" w:hAnsi="Times New Roman" w:cs="Times New Roman"/>
          <w:sz w:val="28"/>
          <w:szCs w:val="28"/>
        </w:rPr>
        <w:t xml:space="preserve"> настоящих Правил, а сумма кредита (займа</w:t>
      </w:r>
      <w:proofErr w:type="gramEnd"/>
      <w:r w:rsidRPr="00057FD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057FD9">
        <w:rPr>
          <w:rFonts w:ascii="Times New Roman" w:hAnsi="Times New Roman" w:cs="Times New Roman"/>
          <w:sz w:val="28"/>
          <w:szCs w:val="28"/>
        </w:rPr>
        <w:t xml:space="preserve">равна сумме рефинансируемого кредита (займа), в случае если рефинансируемый кредит (заем) не освоен заемщиком в полном объеме, или сумма кредита (займа) не превышает суммы непогашенного остатка, ссудной задолженности рефинансируемого кредита (займа), в случае если рефинансируемый кредит (заем) освоен заемщиком в полном объеме и размер ключевой ставки, установленный на дату заключения такого кредита </w:t>
      </w:r>
      <w:r w:rsidRPr="00057FD9">
        <w:rPr>
          <w:rFonts w:ascii="Times New Roman" w:hAnsi="Times New Roman" w:cs="Times New Roman"/>
          <w:sz w:val="28"/>
          <w:szCs w:val="28"/>
        </w:rPr>
        <w:lastRenderedPageBreak/>
        <w:t>(займа), не превышает размера ставки рефинансирования (учетной ставки</w:t>
      </w:r>
      <w:proofErr w:type="gramEnd"/>
      <w:r w:rsidRPr="00057FD9">
        <w:rPr>
          <w:rFonts w:ascii="Times New Roman" w:hAnsi="Times New Roman" w:cs="Times New Roman"/>
          <w:sz w:val="28"/>
          <w:szCs w:val="28"/>
        </w:rPr>
        <w:t>) Центрального банка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(далее - ставка рефинансирования)</w:t>
      </w:r>
      <w:r w:rsidRPr="00057FD9">
        <w:rPr>
          <w:rFonts w:ascii="Times New Roman" w:hAnsi="Times New Roman" w:cs="Times New Roman"/>
          <w:sz w:val="28"/>
          <w:szCs w:val="28"/>
        </w:rPr>
        <w:t>, действовавшей на дату первоначального заключения креди</w:t>
      </w:r>
      <w:r>
        <w:rPr>
          <w:rFonts w:ascii="Times New Roman" w:hAnsi="Times New Roman" w:cs="Times New Roman"/>
          <w:sz w:val="28"/>
          <w:szCs w:val="28"/>
        </w:rPr>
        <w:t>тного договора (договора займа).</w:t>
      </w:r>
    </w:p>
    <w:p w:rsidR="0039624A" w:rsidRPr="00636331" w:rsidRDefault="0039624A" w:rsidP="0039624A">
      <w:pPr>
        <w:pStyle w:val="ConsPlusNormal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6331">
        <w:rPr>
          <w:rFonts w:ascii="Times New Roman" w:hAnsi="Times New Roman" w:cs="Times New Roman"/>
          <w:sz w:val="28"/>
          <w:szCs w:val="28"/>
          <w:u w:val="single"/>
        </w:rPr>
        <w:t>В части реализации механизма льготного инвестиционного кредитования сельскохозяйственных товаропроизводителей поясняем следующее:</w:t>
      </w:r>
    </w:p>
    <w:p w:rsidR="0039624A" w:rsidRPr="00EE5B04" w:rsidRDefault="0039624A" w:rsidP="003962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04">
        <w:rPr>
          <w:rFonts w:ascii="Times New Roman" w:hAnsi="Times New Roman" w:cs="Times New Roman"/>
          <w:sz w:val="28"/>
          <w:szCs w:val="28"/>
        </w:rPr>
        <w:t xml:space="preserve">В соответствии с пунктом 9 постановления Правительства Российской Федерации от 29.12.2016 № 1528 «Об утверждении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</w:t>
      </w:r>
      <w:r>
        <w:rPr>
          <w:rFonts w:ascii="Times New Roman" w:hAnsi="Times New Roman" w:cs="Times New Roman"/>
          <w:sz w:val="28"/>
          <w:szCs w:val="28"/>
        </w:rPr>
        <w:t>развития «ВЭБ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r w:rsidRPr="00EE5B04">
        <w:rPr>
          <w:rFonts w:ascii="Times New Roman" w:hAnsi="Times New Roman" w:cs="Times New Roman"/>
          <w:sz w:val="28"/>
          <w:szCs w:val="28"/>
        </w:rPr>
        <w:t xml:space="preserve">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</w:t>
      </w:r>
      <w:proofErr w:type="gramStart"/>
      <w:r w:rsidRPr="00EE5B04">
        <w:rPr>
          <w:rFonts w:ascii="Times New Roman" w:hAnsi="Times New Roman" w:cs="Times New Roman"/>
          <w:sz w:val="28"/>
          <w:szCs w:val="28"/>
        </w:rPr>
        <w:t>сельскохозяйственной продукции и ее</w:t>
      </w:r>
      <w:r>
        <w:rPr>
          <w:rFonts w:ascii="Times New Roman" w:hAnsi="Times New Roman" w:cs="Times New Roman"/>
          <w:sz w:val="28"/>
          <w:szCs w:val="28"/>
        </w:rPr>
        <w:t xml:space="preserve"> реализацию, по льготной ставке</w:t>
      </w:r>
      <w:r w:rsidRPr="00EE5B04">
        <w:rPr>
          <w:rFonts w:ascii="Times New Roman" w:hAnsi="Times New Roman" w:cs="Times New Roman"/>
          <w:sz w:val="28"/>
          <w:szCs w:val="28"/>
        </w:rPr>
        <w:t xml:space="preserve">» (далее – Постановление от 29.12.2016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E5B04">
        <w:rPr>
          <w:rFonts w:ascii="Times New Roman" w:hAnsi="Times New Roman" w:cs="Times New Roman"/>
          <w:sz w:val="28"/>
          <w:szCs w:val="28"/>
        </w:rPr>
        <w:t>№ 1528) заемщик имеет право после 01.01.2018  заключить с иным уполномоченным банком кредитный договор (соглашение) на цели рефинансирования ранее заключенного льготного инвестиционного кредита при условии, что суммарный срок пользования льготным инвестиционным кредитом и суммарный размер субсидии по нему не превышают сроков и размера субсидии по ранее заключенному льготному инвестиционному</w:t>
      </w:r>
      <w:proofErr w:type="gramEnd"/>
      <w:r w:rsidRPr="00EE5B04">
        <w:rPr>
          <w:rFonts w:ascii="Times New Roman" w:hAnsi="Times New Roman" w:cs="Times New Roman"/>
          <w:sz w:val="28"/>
          <w:szCs w:val="28"/>
        </w:rPr>
        <w:t xml:space="preserve"> кредиту. </w:t>
      </w:r>
    </w:p>
    <w:p w:rsidR="0039624A" w:rsidRDefault="0039624A" w:rsidP="0039624A">
      <w:pPr>
        <w:pStyle w:val="a3"/>
        <w:autoSpaceDE w:val="0"/>
        <w:autoSpaceDN w:val="0"/>
        <w:adjustRightInd w:val="0"/>
        <w:spacing w:line="276" w:lineRule="auto"/>
        <w:ind w:left="0" w:firstLine="708"/>
        <w:jc w:val="both"/>
        <w:rPr>
          <w:szCs w:val="28"/>
        </w:rPr>
      </w:pPr>
      <w:r>
        <w:rPr>
          <w:szCs w:val="28"/>
        </w:rPr>
        <w:t>В случае</w:t>
      </w:r>
      <w:r w:rsidRPr="003A2264">
        <w:rPr>
          <w:szCs w:val="28"/>
        </w:rPr>
        <w:t xml:space="preserve"> принятия </w:t>
      </w:r>
      <w:r>
        <w:rPr>
          <w:szCs w:val="28"/>
        </w:rPr>
        <w:t xml:space="preserve">Вами </w:t>
      </w:r>
      <w:r w:rsidRPr="003A2264">
        <w:rPr>
          <w:szCs w:val="28"/>
        </w:rPr>
        <w:t>решения о рефинансировании льготного инвестиционного кредита</w:t>
      </w:r>
      <w:r>
        <w:rPr>
          <w:szCs w:val="28"/>
        </w:rPr>
        <w:t>, обращайтесь в иной уполномоченный банк. Перечень уполномоченных банков размещен на сайте Минсельхоза России в разделе «Льготное кредитование».</w:t>
      </w:r>
    </w:p>
    <w:p w:rsidR="0039624A" w:rsidRPr="00057FD9" w:rsidRDefault="0039624A" w:rsidP="00C02D2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331" w:rsidRDefault="00C02D2A" w:rsidP="00C02D2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7FD9">
        <w:rPr>
          <w:rFonts w:ascii="Times New Roman" w:hAnsi="Times New Roman" w:cs="Times New Roman"/>
          <w:sz w:val="28"/>
          <w:szCs w:val="28"/>
        </w:rPr>
        <w:t xml:space="preserve"> </w:t>
      </w:r>
      <w:r w:rsidR="00993F6F" w:rsidRPr="003C66BB">
        <w:rPr>
          <w:rFonts w:ascii="Times New Roman" w:hAnsi="Times New Roman" w:cs="Times New Roman"/>
          <w:b/>
          <w:sz w:val="28"/>
          <w:szCs w:val="28"/>
          <w:u w:val="single"/>
        </w:rPr>
        <w:t>Вопрос</w:t>
      </w:r>
      <w:r w:rsidR="003C66BB" w:rsidRPr="003C66BB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Pr="003C66B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993F6F" w:rsidRPr="003C66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36331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Продолжится ли субсидирование инвестиционных кредитов в 2020 году? </w:t>
      </w:r>
    </w:p>
    <w:p w:rsidR="00C02D2A" w:rsidRDefault="00C02D2A" w:rsidP="00C02D2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DDA">
        <w:rPr>
          <w:rFonts w:ascii="Times New Roman" w:hAnsi="Times New Roman" w:cs="Times New Roman"/>
          <w:sz w:val="28"/>
          <w:szCs w:val="28"/>
        </w:rPr>
        <w:t>При выполнении условий рефинансирования кредитов (займов), указанных выше, выплата субсидии на возмещение части затрат на уплату процентов по рефинансируемому инвестиционному кредиту продолжится.</w:t>
      </w:r>
    </w:p>
    <w:p w:rsidR="00636331" w:rsidRPr="00636331" w:rsidRDefault="00636331" w:rsidP="00636331">
      <w:pPr>
        <w:pStyle w:val="ConsPlusNormal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6331">
        <w:rPr>
          <w:rFonts w:ascii="Times New Roman" w:hAnsi="Times New Roman" w:cs="Times New Roman"/>
          <w:sz w:val="28"/>
          <w:szCs w:val="28"/>
          <w:u w:val="single"/>
        </w:rPr>
        <w:t>В части реализации механизма льготного инвестиционного кредитования сельскохозяйственных товаропроизводителей поясняем следующее:</w:t>
      </w:r>
    </w:p>
    <w:p w:rsidR="00636331" w:rsidRDefault="00636331" w:rsidP="00C02D2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6BB" w:rsidRDefault="003C66BB" w:rsidP="003C66BB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Cs w:val="28"/>
        </w:rPr>
      </w:pPr>
      <w:r>
        <w:rPr>
          <w:szCs w:val="28"/>
        </w:rPr>
        <w:t xml:space="preserve">  С 01.01.2017 механизм кредитования сельскохозяйственных товаропроизводителей изменился. Кредитование осуществляется уполномоченными банками по льготной ставке. Условия предоставления инвестиционного кредита по льготной ставке прописаны в </w:t>
      </w:r>
      <w:r w:rsidRPr="008D605D">
        <w:rPr>
          <w:szCs w:val="28"/>
        </w:rPr>
        <w:t>Постановлени</w:t>
      </w:r>
      <w:r>
        <w:rPr>
          <w:szCs w:val="28"/>
        </w:rPr>
        <w:t>и</w:t>
      </w:r>
      <w:r w:rsidRPr="008D605D">
        <w:rPr>
          <w:szCs w:val="28"/>
        </w:rPr>
        <w:t xml:space="preserve"> от 29.12.2016 № 1528</w:t>
      </w:r>
      <w:r>
        <w:rPr>
          <w:szCs w:val="28"/>
        </w:rPr>
        <w:t xml:space="preserve"> и кредитном договоре. При условии их выполнения, льготная ставка по кредиту будет сохраняться до полного его погашения.</w:t>
      </w:r>
    </w:p>
    <w:p w:rsidR="003C66BB" w:rsidRPr="00431DDA" w:rsidRDefault="003C66BB" w:rsidP="00C02D2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2D2A" w:rsidRPr="00636331" w:rsidRDefault="00C02D2A" w:rsidP="00C02D2A">
      <w:pPr>
        <w:pStyle w:val="a3"/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szCs w:val="28"/>
          <w:u w:val="single"/>
        </w:rPr>
      </w:pPr>
      <w:r w:rsidRPr="003C66BB">
        <w:rPr>
          <w:b/>
          <w:szCs w:val="28"/>
          <w:u w:val="single"/>
        </w:rPr>
        <w:t>По третьему вопросу</w:t>
      </w:r>
      <w:r w:rsidR="003C66BB">
        <w:rPr>
          <w:b/>
          <w:szCs w:val="28"/>
          <w:u w:val="single"/>
        </w:rPr>
        <w:t xml:space="preserve"> 3</w:t>
      </w:r>
      <w:r w:rsidRPr="003C66BB">
        <w:rPr>
          <w:b/>
          <w:szCs w:val="28"/>
          <w:u w:val="single"/>
        </w:rPr>
        <w:t>:</w:t>
      </w:r>
      <w:r w:rsidR="003C66BB">
        <w:rPr>
          <w:b/>
          <w:szCs w:val="28"/>
          <w:u w:val="single"/>
        </w:rPr>
        <w:t xml:space="preserve"> </w:t>
      </w:r>
      <w:r w:rsidR="00636331">
        <w:rPr>
          <w:b/>
          <w:szCs w:val="28"/>
          <w:u w:val="single"/>
        </w:rPr>
        <w:t xml:space="preserve">Как изменяется </w:t>
      </w:r>
      <w:r w:rsidR="00636331" w:rsidRPr="00636331">
        <w:rPr>
          <w:b/>
          <w:szCs w:val="28"/>
          <w:u w:val="single"/>
        </w:rPr>
        <w:t>размер ключевой ставки Банка России при рефинансировании инвестиционного кредита</w:t>
      </w:r>
      <w:r w:rsidR="003C66BB" w:rsidRPr="00636331">
        <w:rPr>
          <w:b/>
          <w:szCs w:val="28"/>
          <w:u w:val="single"/>
        </w:rPr>
        <w:t>?</w:t>
      </w:r>
    </w:p>
    <w:p w:rsidR="00C02D2A" w:rsidRDefault="00C02D2A" w:rsidP="00C02D2A">
      <w:pPr>
        <w:pStyle w:val="ConsPlusNormal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рефинансировании инвестиционных кредитов (займов) устанавливается размер ключевой ставки Банка России, которая действует  </w:t>
      </w:r>
      <w:r w:rsidRPr="00636331">
        <w:rPr>
          <w:rFonts w:ascii="Times New Roman" w:hAnsi="Times New Roman" w:cs="Times New Roman"/>
          <w:sz w:val="28"/>
          <w:szCs w:val="28"/>
        </w:rPr>
        <w:t>на дату рефинансирования инвестиционных кредитов (займов),</w:t>
      </w:r>
      <w:r>
        <w:rPr>
          <w:rFonts w:ascii="Times New Roman" w:hAnsi="Times New Roman" w:cs="Times New Roman"/>
          <w:sz w:val="28"/>
          <w:szCs w:val="28"/>
        </w:rPr>
        <w:t xml:space="preserve"> если размер этой ставки не превышает размера ставки рефинансирования действовавшей на дату первоначального заключения кредитного договора (договора займа).</w:t>
      </w:r>
    </w:p>
    <w:p w:rsidR="00636331" w:rsidRPr="00636331" w:rsidRDefault="00636331" w:rsidP="00636331">
      <w:pPr>
        <w:pStyle w:val="ConsPlusNormal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6331">
        <w:rPr>
          <w:rFonts w:ascii="Times New Roman" w:hAnsi="Times New Roman" w:cs="Times New Roman"/>
          <w:sz w:val="28"/>
          <w:szCs w:val="28"/>
          <w:u w:val="single"/>
        </w:rPr>
        <w:t>В части реализации механизма льготного инвестиционного кредитования сельскохозяйственных товаропроизводителей поясняем следующее:</w:t>
      </w:r>
    </w:p>
    <w:p w:rsidR="003C66BB" w:rsidRDefault="003C66BB" w:rsidP="003C66BB">
      <w:pPr>
        <w:pStyle w:val="a3"/>
        <w:autoSpaceDE w:val="0"/>
        <w:autoSpaceDN w:val="0"/>
        <w:adjustRightInd w:val="0"/>
        <w:spacing w:after="720" w:line="276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 xml:space="preserve">Для заемщика колебания ключевой ставки Банка России не могут влиять на установленную в кредитном договоре льготную ставку, так как </w:t>
      </w:r>
      <w:r w:rsidRPr="00A27FE7">
        <w:rPr>
          <w:szCs w:val="28"/>
        </w:rPr>
        <w:t>субсидии из федерального бюджета на возмещение недополученных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ставке, предоставляются уполномоченным</w:t>
      </w:r>
      <w:proofErr w:type="gramEnd"/>
      <w:r w:rsidRPr="00A27FE7">
        <w:rPr>
          <w:szCs w:val="28"/>
        </w:rPr>
        <w:t xml:space="preserve"> банкам</w:t>
      </w:r>
      <w:r>
        <w:rPr>
          <w:szCs w:val="28"/>
        </w:rPr>
        <w:t>, и</w:t>
      </w:r>
      <w:r w:rsidRPr="00A27FE7">
        <w:rPr>
          <w:szCs w:val="28"/>
        </w:rPr>
        <w:t xml:space="preserve"> </w:t>
      </w:r>
      <w:r>
        <w:rPr>
          <w:szCs w:val="28"/>
        </w:rPr>
        <w:t xml:space="preserve">при снижении (росте) ключевой ставки Банка </w:t>
      </w:r>
      <w:proofErr w:type="gramStart"/>
      <w:r>
        <w:rPr>
          <w:szCs w:val="28"/>
        </w:rPr>
        <w:t>России</w:t>
      </w:r>
      <w:proofErr w:type="gramEnd"/>
      <w:r>
        <w:rPr>
          <w:szCs w:val="28"/>
        </w:rPr>
        <w:t xml:space="preserve"> уполномоченный банк получит пониженный (повышенный) размер субсидии.</w:t>
      </w:r>
    </w:p>
    <w:p w:rsidR="00A8762C" w:rsidRDefault="00A8762C" w:rsidP="003C66BB">
      <w:pPr>
        <w:pStyle w:val="a3"/>
        <w:autoSpaceDE w:val="0"/>
        <w:autoSpaceDN w:val="0"/>
        <w:adjustRightInd w:val="0"/>
        <w:spacing w:after="720" w:line="276" w:lineRule="auto"/>
        <w:ind w:left="0" w:firstLine="709"/>
        <w:jc w:val="both"/>
        <w:rPr>
          <w:szCs w:val="28"/>
        </w:rPr>
      </w:pPr>
    </w:p>
    <w:p w:rsidR="00A8762C" w:rsidRDefault="00A8762C" w:rsidP="003C66BB">
      <w:pPr>
        <w:pStyle w:val="a3"/>
        <w:autoSpaceDE w:val="0"/>
        <w:autoSpaceDN w:val="0"/>
        <w:adjustRightInd w:val="0"/>
        <w:spacing w:after="720" w:line="276" w:lineRule="auto"/>
        <w:ind w:left="0" w:firstLine="709"/>
        <w:jc w:val="both"/>
        <w:rPr>
          <w:szCs w:val="28"/>
        </w:rPr>
      </w:pPr>
    </w:p>
    <w:p w:rsidR="00A8762C" w:rsidRDefault="00A8762C" w:rsidP="003C66BB">
      <w:pPr>
        <w:pStyle w:val="a3"/>
        <w:autoSpaceDE w:val="0"/>
        <w:autoSpaceDN w:val="0"/>
        <w:adjustRightInd w:val="0"/>
        <w:spacing w:after="720" w:line="276" w:lineRule="auto"/>
        <w:ind w:left="0" w:firstLine="709"/>
        <w:jc w:val="both"/>
        <w:rPr>
          <w:szCs w:val="28"/>
        </w:rPr>
      </w:pPr>
    </w:p>
    <w:p w:rsidR="00A8762C" w:rsidRDefault="00A8762C" w:rsidP="003C66BB">
      <w:pPr>
        <w:pStyle w:val="a3"/>
        <w:autoSpaceDE w:val="0"/>
        <w:autoSpaceDN w:val="0"/>
        <w:adjustRightInd w:val="0"/>
        <w:spacing w:after="720" w:line="276" w:lineRule="auto"/>
        <w:ind w:left="0" w:firstLine="709"/>
        <w:jc w:val="both"/>
        <w:rPr>
          <w:szCs w:val="28"/>
        </w:rPr>
      </w:pPr>
    </w:p>
    <w:p w:rsidR="00A8762C" w:rsidRDefault="00A8762C" w:rsidP="003C66BB">
      <w:pPr>
        <w:pStyle w:val="a3"/>
        <w:autoSpaceDE w:val="0"/>
        <w:autoSpaceDN w:val="0"/>
        <w:adjustRightInd w:val="0"/>
        <w:spacing w:after="720" w:line="276" w:lineRule="auto"/>
        <w:ind w:left="0" w:firstLine="709"/>
        <w:jc w:val="both"/>
        <w:rPr>
          <w:szCs w:val="28"/>
        </w:rPr>
      </w:pPr>
    </w:p>
    <w:p w:rsidR="00A8762C" w:rsidRDefault="00A8762C" w:rsidP="003C66BB">
      <w:pPr>
        <w:pStyle w:val="a3"/>
        <w:autoSpaceDE w:val="0"/>
        <w:autoSpaceDN w:val="0"/>
        <w:adjustRightInd w:val="0"/>
        <w:spacing w:after="720" w:line="276" w:lineRule="auto"/>
        <w:ind w:left="0" w:firstLine="709"/>
        <w:jc w:val="both"/>
        <w:rPr>
          <w:szCs w:val="28"/>
        </w:rPr>
      </w:pPr>
    </w:p>
    <w:p w:rsidR="00A8762C" w:rsidRDefault="00A8762C" w:rsidP="003C66BB">
      <w:pPr>
        <w:pStyle w:val="a3"/>
        <w:autoSpaceDE w:val="0"/>
        <w:autoSpaceDN w:val="0"/>
        <w:adjustRightInd w:val="0"/>
        <w:spacing w:after="720" w:line="276" w:lineRule="auto"/>
        <w:ind w:left="0" w:firstLine="709"/>
        <w:jc w:val="both"/>
        <w:rPr>
          <w:szCs w:val="28"/>
        </w:rPr>
      </w:pPr>
    </w:p>
    <w:p w:rsidR="00A8762C" w:rsidRPr="00A8762C" w:rsidRDefault="00A8762C" w:rsidP="00A8762C">
      <w:pPr>
        <w:pStyle w:val="a3"/>
        <w:autoSpaceDE w:val="0"/>
        <w:autoSpaceDN w:val="0"/>
        <w:adjustRightInd w:val="0"/>
        <w:spacing w:after="720" w:line="276" w:lineRule="auto"/>
        <w:ind w:left="0"/>
        <w:jc w:val="both"/>
        <w:rPr>
          <w:sz w:val="24"/>
          <w:szCs w:val="24"/>
        </w:rPr>
      </w:pPr>
      <w:r w:rsidRPr="00A8762C">
        <w:rPr>
          <w:sz w:val="24"/>
          <w:szCs w:val="24"/>
        </w:rPr>
        <w:t xml:space="preserve">Отдел финансирования программ </w:t>
      </w:r>
    </w:p>
    <w:p w:rsidR="00A8762C" w:rsidRPr="00A8762C" w:rsidRDefault="00A8762C" w:rsidP="00A8762C">
      <w:pPr>
        <w:pStyle w:val="a3"/>
        <w:autoSpaceDE w:val="0"/>
        <w:autoSpaceDN w:val="0"/>
        <w:adjustRightInd w:val="0"/>
        <w:spacing w:after="720" w:line="276" w:lineRule="auto"/>
        <w:ind w:left="0"/>
        <w:jc w:val="both"/>
        <w:rPr>
          <w:sz w:val="24"/>
          <w:szCs w:val="24"/>
        </w:rPr>
      </w:pPr>
      <w:r w:rsidRPr="00A8762C">
        <w:rPr>
          <w:sz w:val="24"/>
          <w:szCs w:val="24"/>
        </w:rPr>
        <w:t>и мероприятий развития АПК</w:t>
      </w:r>
    </w:p>
    <w:p w:rsidR="003C66BB" w:rsidRDefault="003C66BB" w:rsidP="00C02D2A">
      <w:pPr>
        <w:pStyle w:val="ConsPlusNormal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C66BB" w:rsidSect="005D2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25ED4"/>
    <w:multiLevelType w:val="hybridMultilevel"/>
    <w:tmpl w:val="C2A493F6"/>
    <w:lvl w:ilvl="0" w:tplc="6B3A1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0E5C"/>
    <w:rsid w:val="000137E6"/>
    <w:rsid w:val="00387BA5"/>
    <w:rsid w:val="0039624A"/>
    <w:rsid w:val="003C66BB"/>
    <w:rsid w:val="005D2D78"/>
    <w:rsid w:val="005E252C"/>
    <w:rsid w:val="00636331"/>
    <w:rsid w:val="007F0E5C"/>
    <w:rsid w:val="0097202E"/>
    <w:rsid w:val="00993F6F"/>
    <w:rsid w:val="00A8762C"/>
    <w:rsid w:val="00C02D2A"/>
    <w:rsid w:val="00CC7F75"/>
    <w:rsid w:val="00DE5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2D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02D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of1</dc:creator>
  <cp:keywords/>
  <dc:description/>
  <cp:lastModifiedBy>of1</cp:lastModifiedBy>
  <cp:revision>8</cp:revision>
  <dcterms:created xsi:type="dcterms:W3CDTF">2020-02-18T13:13:00Z</dcterms:created>
  <dcterms:modified xsi:type="dcterms:W3CDTF">2020-02-19T08:19:00Z</dcterms:modified>
</cp:coreProperties>
</file>